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222222"/>
          <w:kern w:val="0"/>
          <w:sz w:val="40"/>
          <w:szCs w:val="40"/>
          <w:lang w:val="en-US" w:eastAsia="zh-CN"/>
        </w:rPr>
        <w:t>兴业资产管理有限公司2023年度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40"/>
          <w:szCs w:val="40"/>
        </w:rPr>
        <w:t>特殊资产风险代理</w:t>
      </w:r>
      <w:r>
        <w:rPr>
          <w:rFonts w:hint="eastAsia" w:ascii="仿宋" w:hAnsi="仿宋" w:eastAsia="仿宋" w:cs="仿宋"/>
          <w:b/>
          <w:bCs/>
          <w:color w:val="222222"/>
          <w:kern w:val="0"/>
          <w:sz w:val="40"/>
          <w:szCs w:val="40"/>
          <w:lang w:val="en-US" w:eastAsia="zh-CN"/>
        </w:rPr>
        <w:t>意向律师事务所名单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注：按拼音排序，不分先后。</w:t>
      </w:r>
    </w:p>
    <w:tbl>
      <w:tblPr>
        <w:tblStyle w:val="2"/>
        <w:tblW w:w="7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6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北京大成（厦门）律师事务所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北京大成（温州）律师事务所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北京观韬中茂（福州）律师事务所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北京浩天（深圳）律师事务所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北京市竞天公诚律师事务所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北京市炜衡（福州）律师事务所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北京市炜衡（泉州）律师事务所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北京市炜衡律师事务所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北京市盈科（福州）律师事务所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北京市盈科（泉州）律师事务所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北京市中闻律师事务所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北京云亭律师事务所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北京中银（福州）律师事务所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福建博世律师事务所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福建德和律师事务所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福建建达律师事务所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福建均融律师事务所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福建科进律师事务所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福建天凯律师事务所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福建拓维律师事务所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福建纬瀚律师事务所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福建熹平律师事务所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福建迅晟律师事务所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福建瀛闽律师事务所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福建于飞律师事务所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福建知保律师事务所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福建至理律师事务所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福建志立律师事务所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福建智德律师事务所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福建重宇合众（泉州）律师事务所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广东法丞汇俊律师事务所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广东法盛（前海）律师事务所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广东凡立（东莞）律师事务所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广东华商律师事务所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国浩律师（福州）事务所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宁夏宁银律师事务所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上海汉盛律师事务所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上海瀚元律师事务所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上海衡铭律师事务所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上海钧发律师事务所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上海融力天闻律师事务所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四川律军律师事务所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6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浙江太安律师事务所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E2D33"/>
    <w:rsid w:val="0E75319B"/>
    <w:rsid w:val="399E2D33"/>
    <w:rsid w:val="40383156"/>
    <w:rsid w:val="59771DC5"/>
    <w:rsid w:val="7D0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2023-01-13T06:16:00Z</dcterms:created>
  <dc:creator>V</dc:creator>
  <cp:lastModifiedBy>邱晓薇</cp:lastModifiedBy>
  <cp:lastPrinted>2023-01-17T00:51:00Z</cp:lastPrinted>
  <dcterms:modified xsi:type="dcterms:W3CDTF">2023-01-19T02:23:40Z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