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44"/>
          <w:szCs w:val="44"/>
          <w:lang w:val="en-US" w:eastAsia="zh-CN"/>
        </w:rPr>
        <w:t>兴业资产管理有限公司2023年度入库律师事务所名单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注：按拼音排序，不分先后。</w:t>
      </w:r>
    </w:p>
    <w:tbl>
      <w:tblPr>
        <w:tblStyle w:val="2"/>
        <w:tblW w:w="8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7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律所名称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大成（福州）律师事务所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北京隆安律师（昆明）事务所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北京市环球律师事务所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北京市嘉源律师事务所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北京市竞天公诚律师事务所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北京市炜衡（福州）律师事务所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北京市炜衡（泉州）律师事务所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北京市炜衡律师事务所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北京市盈科（泉州）律师事务所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福建博世律师事务所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福建海山律师事务所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福建衡评律师事务所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福建建达（泉州）律师事务所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福建联合信实律师事务所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福建闽众律师事务所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福建融成律师事务所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福建天衡联合律师事务所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福建天凯律师事务所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福建拓维律师事务所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福建瀛同律师事务所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福建永时律师事务所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福建于飞律师事务所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福建至理律师事务所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福建智德律师事务所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福建重宇合众（泉州）律师事务所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上海锦天城（福州）律师事务所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上海昆然律师事务所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7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浙江合创律师事务所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6789"/>
    <w:rsid w:val="169122D6"/>
    <w:rsid w:val="282B4E6E"/>
    <w:rsid w:val="50E155A6"/>
    <w:rsid w:val="7B246789"/>
    <w:rsid w:val="7F6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2023-01-13T06:18:00Z</dcterms:created>
  <dc:creator>V</dc:creator>
  <cp:lastModifiedBy>V</cp:lastModifiedBy>
  <dcterms:modified xsi:type="dcterms:W3CDTF">2023-01-16T06:50:49Z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